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19 ноября 2019 года № 90 "Об утверждении Правил формирования тарифов"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27.06.2024. № 197716. редакция от 27.06.2024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19 ноября 2019 года № 90 "Об утверждении Правил формирования тарифов" (зарегистрирован в Реестре государственной регистрации нормативных правовых актов за № 19617) следующие изменения:</w:t>
      </w:r>
    </w:p>
    <w:p>
      <w:r>
        <w:t xml:space="preserve">в Правилах формирования тарифов, утвержденных указанным приказом:</w:t>
      </w:r>
    </w:p>
    <w:p>
      <w:r>
        <w:t xml:space="preserve">подпункт 116) пункта 3 изложить в следующей редакции:</w:t>
      </w:r>
    </w:p>
    <w:p>
      <w:r>
        <w:t xml:space="preserve">"116) стратегические товары:</w:t>
      </w:r>
    </w:p>
    <w:p>
      <w:r>
        <w:t xml:space="preserve">уголь, газ, мазут и дизельное топливо, используемые в качестве топлива для производства тепловой энергии субъектами;</w:t>
      </w:r>
    </w:p>
    <w:p>
      <w:r>
        <w:t xml:space="preserve">электрическая энергия с учетом услуги по обеспечению готовности электрической мощности к несению нагрузки для компенсации потерь – для субъектов естественных монополий в сферах передачи электрической энергии, водоснабжения и (или) водоотведения;</w:t>
      </w:r>
    </w:p>
    <w:p>
      <w:r>
        <w:t xml:space="preserve">тепловая энергия – для субъектов в сфере снабжения тепловой энергией и для нормативных потерь в сфере передачи и распределения тепловой энергии;</w:t>
      </w:r>
    </w:p>
    <w:p>
      <w:r>
        <w:t xml:space="preserve">газ – для собственных нужд и потерь для субъектов в сферах хранения, транспортировки товарного газа по соединительным, магистральным газопроводам и (или) газораспределительным системам, эксплуатации групповых резервуарных установок, а также транспортировки сырого газа по соединительным газопроводам;</w:t>
      </w:r>
    </w:p>
    <w:p>
      <w:r>
        <w:t xml:space="preserve">вода – для субъектов в сферах водоснабжения, производства тепловой энергии;";</w:t>
      </w:r>
    </w:p>
    <w:p>
      <w:r>
        <w:t xml:space="preserve">в пункте 15 :</w:t>
      </w:r>
    </w:p>
    <w:p>
      <w:r>
        <w:t xml:space="preserve">подпункт 7) изложить в следующей редакции:</w:t>
      </w:r>
    </w:p>
    <w:p>
      <w:r>
        <w:t xml:space="preserve">"7) отчеты по формам, утвержденным уполномоченным органом в области государственной статистики в соответствии с подпунктом 8) статьи 12 Закона Республики Казахстан "О государственной статистике":</w:t>
      </w:r>
    </w:p>
    <w:p>
      <w:r>
        <w:t xml:space="preserve">о финансово-хозяйственной деятельности, об инвестиционной деятельности;</w:t>
      </w:r>
    </w:p>
    <w:p>
      <w:r>
        <w:t xml:space="preserve">о состоянии основных фондов, о структуре и распределении заработной платы и по труду за два предшествующих календарных года;";</w:t>
      </w:r>
    </w:p>
    <w:p>
      <w:r>
        <w:t xml:space="preserve">подпункт 11) изложить в следующей редакции:</w:t>
      </w:r>
    </w:p>
    <w:p>
      <w:r>
        <w:t xml:space="preserve">"11) копии решений конкурсных (тендерных) комиссий по закупке товаров, работ, услуг за предшествующий календарный год;";</w:t>
      </w:r>
    </w:p>
    <w:p>
      <w:r>
        <w:t xml:space="preserve">пункт 310 изложить в следующей редакции:</w:t>
      </w:r>
    </w:p>
    <w:p>
      <w:r>
        <w:t xml:space="preserve">"310. Ведомство уполномоченного органа или его территориальный орган в срок не позднее чем за десять календарных дней до утверждения тарифа в упрощенном порядке проводит публичные слушания.</w:t>
      </w:r>
    </w:p>
    <w:p>
      <w:r>
        <w:t xml:space="preserve">Информация о дате и месте проведения публичных слушаний и (или) ссылки на онлайн-трансляцию опубликовывается ведомством уполномоченного органа или его территориальным органом не позднее чем за пять календарных дней до дня проведения публичных слушаний по обсуждению проекта тарифа в упрощенном порядке, в периодических печатных изданиях, распространяемых на территории соответствующей административно-территориальной единицы.";</w:t>
      </w:r>
    </w:p>
    <w:p>
      <w:r>
        <w:t xml:space="preserve">пункт 471 изложить в следующей редакции:</w:t>
      </w:r>
    </w:p>
    <w:p>
      <w:r>
        <w:t xml:space="preserve">"471. Субъекты для целей ведения раздельного учета в соответствии с подпунктом 9) пункта 2 статьи 26 Закона согласовывают с уполномоченным органом или ведомством уполномоченного органа и его территориальным органом разработанные и утвержденные методики ведения раздельного учета доходов, затрат и задействованных активов по каждому виду регулируемых услуг субъектов в соответствии с настоящими Правилами.";</w:t>
      </w:r>
    </w:p>
    <w:p>
      <w:r>
        <w:t xml:space="preserve">пункт 604 изложить в следующей редакции:</w:t>
      </w:r>
    </w:p>
    <w:p>
      <w:r>
        <w:t xml:space="preserve">"604. К заявке на изменение тарифа прилагаются:</w:t>
      </w:r>
    </w:p>
    <w:p>
      <w:pPr>
        <w:pStyle w:val="Heading2"/>
      </w:pPr>
      <w:r>
        <w:t xml:space="preserve">Подпункт 1</w:t>
      </w:r>
    </w:p>
    <w:p>
      <w:r>
        <w:t xml:space="preserve">1) пояснительная записка, с указанием причин изменения утвержденного ведомством уполномоченного органа тарифа до истечения его срока действия;</w:t>
      </w:r>
    </w:p>
    <w:p>
      <w:pPr>
        <w:pStyle w:val="Heading2"/>
      </w:pPr>
      <w:r>
        <w:t xml:space="preserve">Подпункт 2</w:t>
      </w:r>
    </w:p>
    <w:p>
      <w:r>
        <w:t xml:space="preserve">2) проект тарифной сметы в соответствии с Перечнем затрат, учитываемых и не учитываемых в тарифе, Правилами ограничения размеров затрат, учитываемых в тарифе, согласно настоящим Правилам. При этом в случае увеличения стоимости стратегических товаров в тарифной смете корректируются только статьи затрат, включающие использование стратегических товаров и (или) подлежащих государственному регулированию тарифов (цен) на транспортировку стратегических товаров;</w:t>
      </w:r>
    </w:p>
    <w:p>
      <w:pPr>
        <w:pStyle w:val="Heading2"/>
      </w:pPr>
      <w:r>
        <w:t xml:space="preserve">Подпункт 3</w:t>
      </w:r>
    </w:p>
    <w:p>
      <w:r>
        <w:t xml:space="preserve">3) документы, подтверждающие необходимость изменения утвержденного ведомством уполномоченного органа тарифа до истечения его срока действия.</w:t>
      </w:r>
    </w:p>
    <w:p>
      <w:r>
        <w:t xml:space="preserve">В случае изменения стоимости стратегических товаров и (или) подлежащих государственному регулированию тарифов (цен) на транспортировку стратегических товаров к заявке на утверждение тарифа прилагаются конкурсная документация, решения конкурсных (тендерных) комиссий по закупке товаров, договора, счета-фактуры, расчеты уровня затрат, а также произведенные на основе типовых норм и нормативов, действующих в соответствующей отрасли (сфере), расчеты технических потерь, нормах расхода стратегического товара.</w:t>
      </w:r>
    </w:p>
    <w:p>
      <w:r>
        <w:t xml:space="preserve">Срок рассмотрения ведомством уполномоченного органа заявки об изменении тарифа до истечения его срока действия в случаях, предусмотренных:</w:t>
      </w:r>
    </w:p>
    <w:p>
      <w:pPr>
        <w:pStyle w:val="Heading2"/>
      </w:pPr>
      <w:r>
        <w:t xml:space="preserve">Подпункт 1</w:t>
      </w:r>
    </w:p>
    <w:p>
      <w:r>
        <w:t xml:space="preserve">1) подпунктами 1) , 2) , и 3) пункта 601 настоящих Правил, составляет не более десяти рабочих дней со дня ее представления;</w:t>
      </w:r>
    </w:p>
    <w:p>
      <w:pPr>
        <w:pStyle w:val="Heading2"/>
      </w:pPr>
      <w:r>
        <w:t xml:space="preserve">Подпункт 2</w:t>
      </w:r>
    </w:p>
    <w:p>
      <w:r>
        <w:t xml:space="preserve">2) подпунктами 4) , 5) , 6) , 10) и 11) пункта 601 настоящих Правил, составляет не более тридцати рабочих дней со дня ее представления;</w:t>
      </w:r>
    </w:p>
    <w:p>
      <w:pPr>
        <w:pStyle w:val="Heading2"/>
      </w:pPr>
      <w:r>
        <w:t xml:space="preserve">Подпункт 3</w:t>
      </w:r>
    </w:p>
    <w:p>
      <w:r>
        <w:t xml:space="preserve">3) подпунктом 12) пункта 601 настоящих Правил, составляет не более девяноста рабочих дней со дня ее представления.</w:t>
      </w:r>
    </w:p>
    <w:p>
      <w:r>
        <w:t xml:space="preserve">В случае изменения тарифа по инициативе ведомства уполномоченного органа субъект в месячный срок со дня получения соответствующей информации представляет экономически обоснованные расчеты и материалы (копии договоров, актов выполненных работ, накладных, счет-фактур, пообъектный перечень основных средств и нематериальных активов с указанием балансовой и остаточной стоимости, срока службы, годовой амортизации).";</w:t>
      </w:r>
    </w:p>
    <w:p>
      <w:r>
        <w:t xml:space="preserve">пункт 625 изложить в следующей редакции:</w:t>
      </w:r>
    </w:p>
    <w:p>
      <w:r>
        <w:t xml:space="preserve">"625. Формирование проектов тарифов и тарифных смет осуществляется на основании согласованной с уполномоченным органом методики ведения раздельного учета доходов, затрат и задействованных активов по каждому виду регулируемых услуг, разрабатываемой и утверждаемой субъектом в соответствии с Правилами ведения раздельного учета доходов, затрат и задействованных активов по каждому виду регулируемых услуг и в целом по деятельности, не относящейся к регулируемым услугам, согласно главе 9 настоящих Правил.</w:t>
      </w:r>
    </w:p>
    <w:p>
      <w:r>
        <w:t xml:space="preserve">При формировании тарифной сметы на регулируемые услуги затраты учитываются в соответствии с настоящей главой, законодательством Республики Казахстан о бухгалтерском учете, о естественных монополиях и Налоговым кодексом.";</w:t>
      </w:r>
    </w:p>
    <w:p>
      <w:r>
        <w:t xml:space="preserve">пункт 639 изложить в следующей редакции:</w:t>
      </w:r>
    </w:p>
    <w:p>
      <w:r>
        <w:t xml:space="preserve">"639. Субъект малой мощности в срок не позднее, чем за тридцать календарных дней до изменения тарифа проводит публичные слушания в соответствии с пунктом 13 статьи 15 Закона.</w:t>
      </w:r>
    </w:p>
    <w:p>
      <w:r>
        <w:t xml:space="preserve">Информация о дате и месте проведения публичных слушаний и (или) ссылки на онлайн-трансляцию размещается субъектом малой мощности на своем интернет-ресурсе, в случае его отсутствия представляется ведомству уполномоченного органа для размещения на его интернет-ресурсе либо в периодических печатных изданиях, распространяемых на территории соответствующей административно-территориальной единицы, за тридцать календарных дней до их проведения.".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c 8 июня 2024 года.</w:t>
      </w:r>
    </w:p>
    <w:p>
      <w:r>
        <w:t xml:space="preserve">| Заместитель Премьер-Министра – Министр национальной экономики Республики Казахстан | Н. Байбазаров |</w:t>
      </w:r>
    </w:p>
    <w:p>
      <w:r>
        <w:t xml:space="preserve">|---|---|</w:t>
      </w:r>
    </w:p>
    <w:p>
      <w:r>
        <w:t xml:space="preserve">| "СОГЛАСОВАН" Министерство транспорта Республики Казахстан |</w:t>
      </w:r>
    </w:p>
    <w:p>
      <w:r>
        <w:t xml:space="preserve">|---|</w:t>
      </w:r>
    </w:p>
    <w:p>
      <w:r>
        <w:t xml:space="preserve">| "СОГЛАСОВАН" Министерство промышленности и строительства Республики Казахстан |</w:t>
      </w:r>
    </w:p>
    <w:p>
      <w:r>
        <w:t xml:space="preserve">|---|</w:t>
      </w:r>
    </w:p>
    <w:p>
      <w:r>
        <w:t xml:space="preserve">| "СОГЛАСОВАН" Министерство водных ресурсов и ирригации Республики Казахстан |</w:t>
      </w:r>
    </w:p>
    <w:p>
      <w:r>
        <w:t xml:space="preserve">|---|</w:t>
      </w:r>
    </w:p>
    <w:p>
      <w:r>
        <w:t xml:space="preserve">| "СОГЛАСОВАН" Министерство энергетики Республики Казахстан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