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перечень технических регламентов Евразийского экономического союза (технических регламентов Таможенного союза)</w:t>
      </w:r>
    </w:p>
    <w:p>
      <w:r>
        <w:t xml:space="preserve">Решение, Изменения. Коллегия Евразийской экономической комиссии. от 15.08.2023. № 119. редакция от 15.08.2023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пунктами 4 и 7 Протокола об информационно-коммуникационных технологиях и информационном взаимодействии в рамках Евразийского экономического союза (приложение № 3 к Договору о Евразийском экономическом союзе от 29 мая 2014 года) и руководствуясь Положением о единой системе нормативно-справочной информации Евразийского экономического союза, утвержденным Решением Коллегии Евразийской экономической комиссии от 17 ноября 2015 г. № 155, Коллегия Евразийской экономической комиссии решила :</w:t>
      </w:r>
    </w:p>
    <w:p>
      <w:pPr>
        <w:pStyle w:val="Heading2"/>
      </w:pPr>
      <w:r>
        <w:t xml:space="preserve">Текст</w:t>
      </w:r>
    </w:p>
    <w:p>
      <w:r>
        <w:t xml:space="preserve">1.ºВнести в перечень технических регламентов Евразийского экономического союза (технических регламентов Таможенного союза), утвержденный Решением Коллегии Евразийской экономической комиссии от 2 апреля 2019 г. № 52, изменения согласно приложению .</w:t>
      </w:r>
    </w:p>
    <w:p>
      <w:pPr>
        <w:pStyle w:val="Heading2"/>
      </w:pPr>
      <w:r>
        <w:t xml:space="preserve">Текст</w:t>
      </w:r>
    </w:p>
    <w:p>
      <w:r>
        <w:t xml:space="preserve">2.ºНастоящее Решение вступает в силу по истечении 30 календарных дней с даты его официального опубликования.</w:t>
      </w:r>
    </w:p>
    <w:p>
      <w:r>
        <w:t xml:space="preserve">| Врио Председателя Коллегии Евразийской экономической комиссии | В. Назаренко |</w:t>
      </w:r>
    </w:p>
    <w:p>
      <w:r>
        <w:t xml:space="preserve">|---|---|</w:t>
      </w:r>
    </w:p>
    <w:p>
      <w:r>
        <w:t xml:space="preserve">|  | ПРИЛОЖЕНИЕ к Решению Коллегии Евразийской экономической комиссии от 15 августа 2023 г. № 119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</w:t>
      </w:r>
    </w:p>
    <w:p>
      <w:pPr>
        <w:pStyle w:val="Heading2"/>
      </w:pPr>
      <w:r>
        <w:t xml:space="preserve">Глава вносимые в перечень технических регламентов Евразийского экономического союза</w:t>
      </w:r>
    </w:p>
    <w:p>
      <w:pPr>
        <w:pStyle w:val="Heading2"/>
      </w:pPr>
      <w:r>
        <w:t xml:space="preserve">Глава (технических регламентов Таможенного союза)</w:t>
      </w:r>
    </w:p>
    <w:p>
      <w:pPr>
        <w:pStyle w:val="Heading2"/>
      </w:pPr>
      <w:r>
        <w:t xml:space="preserve">Пункт 1</w:t>
      </w:r>
    </w:p>
    <w:p>
      <w:r>
        <w:t xml:space="preserve">1. В разделе I :</w:t>
      </w:r>
    </w:p>
    <w:p>
      <w:r>
        <w:t xml:space="preserve">а) в таблице 1 :</w:t>
      </w:r>
    </w:p>
    <w:p>
      <w:r>
        <w:t xml:space="preserve">позицию с кодом "001" изложить в следующей редакции:</w:t>
      </w:r>
    </w:p>
    <w:p>
      <w:r>
        <w:t xml:space="preserve">| " | 001 | ТР ТС 001/2011 | "О безопасности железнодорожного подвижного состава" | С | 1с |  |</w:t>
      </w:r>
    </w:p>
    <w:p>
      <w:r>
        <w:t xml:space="preserve">|---|---|---|---|---|---|---|</w:t>
      </w:r>
    </w:p>
    <w:p>
      <w:r>
        <w:t xml:space="preserve">|  | 3с |  |  |  |  |  |</w:t>
      </w:r>
    </w:p>
    <w:p>
      <w:r>
        <w:t xml:space="preserve">|  | 4с |  |  |  |  |  |</w:t>
      </w:r>
    </w:p>
    <w:p>
      <w:r>
        <w:t xml:space="preserve">|  | 10с |  |  |  |  |  |</w:t>
      </w:r>
    </w:p>
    <w:p>
      <w:r>
        <w:t xml:space="preserve">|  | Д | 1д |  |  |  |  |</w:t>
      </w:r>
    </w:p>
    <w:p>
      <w:r>
        <w:t xml:space="preserve">|  | 2д |  |  |  |  |  |</w:t>
      </w:r>
    </w:p>
    <w:p>
      <w:r>
        <w:t xml:space="preserve">|  | 3д |  |  |  |  |  |</w:t>
      </w:r>
    </w:p>
    <w:p>
      <w:r>
        <w:t xml:space="preserve">|  | 4д |  |  |  |  |  |</w:t>
      </w:r>
    </w:p>
    <w:p>
      <w:r>
        <w:t xml:space="preserve">|  | 6д | "; |  |  |  | 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"002" изложить в следующей редакции:</w:t>
      </w:r>
    </w:p>
    <w:p>
      <w:r>
        <w:t xml:space="preserve">| " | 002 | ТР ТС 002/2011 | "О безопасности высокоскоростного железнодорожного транспорта" | С | 1с |  |</w:t>
      </w:r>
    </w:p>
    <w:p>
      <w:r>
        <w:t xml:space="preserve">|---|---|---|---|---|---|---|</w:t>
      </w:r>
    </w:p>
    <w:p>
      <w:r>
        <w:t xml:space="preserve">|  | 3с |  |  |  |  |  |</w:t>
      </w:r>
    </w:p>
    <w:p>
      <w:r>
        <w:t xml:space="preserve">|  | 4с |  |  |  |  |  |</w:t>
      </w:r>
    </w:p>
    <w:p>
      <w:r>
        <w:t xml:space="preserve">|  | 10с |  |  |  |  |  |</w:t>
      </w:r>
    </w:p>
    <w:p>
      <w:r>
        <w:t xml:space="preserve">|  | 11с |  |  |  |  |  |</w:t>
      </w:r>
    </w:p>
    <w:p>
      <w:r>
        <w:t xml:space="preserve">|  | Д | 1д |  |  |  |  |</w:t>
      </w:r>
    </w:p>
    <w:p>
      <w:r>
        <w:t xml:space="preserve">|  | 2д |  |  |  |  |  |</w:t>
      </w:r>
    </w:p>
    <w:p>
      <w:r>
        <w:t xml:space="preserve">|  | 3д |  |  |  |  |  |</w:t>
      </w:r>
    </w:p>
    <w:p>
      <w:r>
        <w:t xml:space="preserve">|  | 4д |  |  |  |  |  |</w:t>
      </w:r>
    </w:p>
    <w:p>
      <w:r>
        <w:t xml:space="preserve">|  | 6д | "; |  |  |  | 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"003" изложить в следующей редакции:</w:t>
      </w:r>
    </w:p>
    <w:p>
      <w:r>
        <w:t xml:space="preserve">| " | 003 | ТР ТС 003/2011 | "О безопасности инфраструктуры железнодорожного транспорта" | С | 1с |  |</w:t>
      </w:r>
    </w:p>
    <w:p>
      <w:r>
        <w:t xml:space="preserve">|---|---|---|---|---|---|---|</w:t>
      </w:r>
    </w:p>
    <w:p>
      <w:r>
        <w:t xml:space="preserve">|  | 3с |  |  |  |  |  |</w:t>
      </w:r>
    </w:p>
    <w:p>
      <w:r>
        <w:t xml:space="preserve">|  | 4с |  |  |  |  |  |</w:t>
      </w:r>
    </w:p>
    <w:p>
      <w:r>
        <w:t xml:space="preserve">|  | 10с |  |  |  |  |  |</w:t>
      </w:r>
    </w:p>
    <w:p>
      <w:r>
        <w:t xml:space="preserve">|  | 11с |  |  |  |  |  |</w:t>
      </w:r>
    </w:p>
    <w:p>
      <w:r>
        <w:t xml:space="preserve">|  | Д | 3д |  |  |  |  |</w:t>
      </w:r>
    </w:p>
    <w:p>
      <w:r>
        <w:t xml:space="preserve">|  | 4д |  |  |  |  |  |</w:t>
      </w:r>
    </w:p>
    <w:p>
      <w:r>
        <w:t xml:space="preserve">|  | 6д | "; |  |  |  | 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"031" изложить в следующей редакции:</w:t>
      </w:r>
    </w:p>
    <w:p>
      <w:r>
        <w:t xml:space="preserve">| " | 031 | ТР ТС 031/2012 | "О безопасности сельскохозяйственных и лесохозяйственных тракторов и прицепов к ним" | С | с |  |</w:t>
      </w:r>
    </w:p>
    <w:p>
      <w:r>
        <w:t xml:space="preserve">|---|---|---|---|---|---|---|</w:t>
      </w:r>
    </w:p>
    <w:p>
      <w:r>
        <w:t xml:space="preserve">|  | 1с |  |  |  |  |  |</w:t>
      </w:r>
    </w:p>
    <w:p>
      <w:r>
        <w:t xml:space="preserve">|  | 2с |  |  |  |  |  |</w:t>
      </w:r>
    </w:p>
    <w:p>
      <w:r>
        <w:t xml:space="preserve">|  | 3с |  |  |  |  |  |</w:t>
      </w:r>
    </w:p>
    <w:p>
      <w:r>
        <w:t xml:space="preserve">|  | 4с | "; |  |  |  | 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"046" изложить в следующей редакции:</w:t>
      </w:r>
    </w:p>
    <w:p>
      <w:r>
        <w:t xml:space="preserve">| " | 046 | ТР ЕАЭС 046/2018 | "О безопасности газа горючего природного, подготовленного к транспортированию и (или) использованию" | Д | 1д |  |</w:t>
      </w:r>
    </w:p>
    <w:p>
      <w:r>
        <w:t xml:space="preserve">|---|---|---|---|---|---|---|</w:t>
      </w:r>
    </w:p>
    <w:p>
      <w:r>
        <w:t xml:space="preserve">|  | 3д |  |  |  |  |  |</w:t>
      </w:r>
    </w:p>
    <w:p>
      <w:r>
        <w:t xml:space="preserve">|  | 4д |  |  |  |  |  |</w:t>
      </w:r>
    </w:p>
    <w:p>
      <w:r>
        <w:t xml:space="preserve">|  | 6д |  |  |  |  |  |</w:t>
      </w:r>
    </w:p>
    <w:p>
      <w:r>
        <w:t xml:space="preserve">|  | ИП | - | "; |  |  | 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"047" дополнить позициями следующего содержания:</w:t>
      </w:r>
    </w:p>
    <w:p>
      <w:r>
        <w:t xml:space="preserve">| " | 048 | ТР ЕАЭС 048/2019 | "О требованиях к энергетической эффективности энергопотребляющих устройств" | С | 1с |  |</w:t>
      </w:r>
    </w:p>
    <w:p>
      <w:r>
        <w:t xml:space="preserve">|---|---|---|---|---|---|---|</w:t>
      </w:r>
    </w:p>
    <w:p>
      <w:r>
        <w:t xml:space="preserve">|  | 3с |  |  |  |  |  |</w:t>
      </w:r>
    </w:p>
    <w:p>
      <w:r>
        <w:t xml:space="preserve">|  | 4с |  |  |  |  |  |</w:t>
      </w:r>
    </w:p>
    <w:p>
      <w:r>
        <w:t xml:space="preserve">|  | Д | 1д |  |  |  |  |</w:t>
      </w:r>
    </w:p>
    <w:p>
      <w:r>
        <w:t xml:space="preserve">|  | 2д |  |  |  |  |  |</w:t>
      </w:r>
    </w:p>
    <w:p>
      <w:r>
        <w:t xml:space="preserve">|  | 3д |  |  |  |  |  |</w:t>
      </w:r>
    </w:p>
    <w:p>
      <w:r>
        <w:t xml:space="preserve">|  | 4д |  |  |  |  |  |</w:t>
      </w:r>
    </w:p>
    <w:p>
      <w:r>
        <w:t xml:space="preserve">|  | 6д |  |  |  |  |  |</w:t>
      </w:r>
    </w:p>
    <w:p>
      <w:r>
        <w:t xml:space="preserve">|  | 049 | ТР ЕАЭС 049/2020 | "О требованиях к магистральным трубопроводам для транспортирования жидких и газообразных углеводородов" | АН | - |  |</w:t>
      </w:r>
    </w:p>
    <w:p>
      <w:r>
        <w:t xml:space="preserve">|  | ГК | - |  |  |  |  |</w:t>
      </w:r>
    </w:p>
    <w:p>
      <w:r>
        <w:t xml:space="preserve">|  | ПР | - |  |  |  |  |</w:t>
      </w:r>
    </w:p>
    <w:p>
      <w:r>
        <w:t xml:space="preserve">|  | СК | - |  |  |  |  |</w:t>
      </w:r>
    </w:p>
    <w:p>
      <w:r>
        <w:t xml:space="preserve">|  | ЭД | - |  |  |  |  |</w:t>
      </w:r>
    </w:p>
    <w:p>
      <w:r>
        <w:t xml:space="preserve">|  | ЭК | - |  |  |  |  |</w:t>
      </w:r>
    </w:p>
    <w:p>
      <w:r>
        <w:t xml:space="preserve">|  | 050 | ТР ЕАЭС 050/2021 | "О безопасности продукции, предназначенной для гражданской обороны и защиты от чрезвычайных ситуаций природного и техногенного характера" | С | 1с |  |</w:t>
      </w:r>
    </w:p>
    <w:p>
      <w:r>
        <w:t xml:space="preserve">|  | 2с |  |  |  |  |  |</w:t>
      </w:r>
    </w:p>
    <w:p>
      <w:r>
        <w:t xml:space="preserve">|  | 3с |  |  |  |  |  |</w:t>
      </w:r>
    </w:p>
    <w:p>
      <w:r>
        <w:t xml:space="preserve">|  | 4с |  |  |  |  |  |</w:t>
      </w:r>
    </w:p>
    <w:p>
      <w:r>
        <w:t xml:space="preserve">|  | 051 | ТР ЕАЭС 051/2021 | "О безопасности мяса птицы и продукции его переработки" | Д | 3д |  |</w:t>
      </w:r>
    </w:p>
    <w:p>
      <w:r>
        <w:t xml:space="preserve">|  | 4д |  |  |  |  |  |</w:t>
      </w:r>
    </w:p>
    <w:p>
      <w:r>
        <w:t xml:space="preserve">|  | 6д |  |  |  |  |  |</w:t>
      </w:r>
    </w:p>
    <w:p>
      <w:r>
        <w:t xml:space="preserve">|  | ГК | - |  |  |  |  |</w:t>
      </w:r>
    </w:p>
    <w:p>
      <w:r>
        <w:t xml:space="preserve">|  | ЭВ | - |  |  |  |  |</w:t>
      </w:r>
    </w:p>
    <w:p>
      <w:r>
        <w:t xml:space="preserve">|  | 052 | ТР ЕАЭС 052/2021 | "О безопасности подвижного состава метрополитена" | С | 1с |  |</w:t>
      </w:r>
    </w:p>
    <w:p>
      <w:r>
        <w:t xml:space="preserve">|  | 2с |  |  |  |  |  |</w:t>
      </w:r>
    </w:p>
    <w:p>
      <w:r>
        <w:t xml:space="preserve">|  | 3с |  |  |  |  |  |</w:t>
      </w:r>
    </w:p>
    <w:p>
      <w:r>
        <w:t xml:space="preserve">|  | 4с |  |  |  |  |  |</w:t>
      </w:r>
    </w:p>
    <w:p>
      <w:r>
        <w:t xml:space="preserve">|  | 7с |  |  |  |  |  |</w:t>
      </w:r>
    </w:p>
    <w:p>
      <w:r>
        <w:t xml:space="preserve">|  | 8с |  |  |  |  |  |</w:t>
      </w:r>
    </w:p>
    <w:p>
      <w:r>
        <w:t xml:space="preserve">|  | Д | 1д |  |  |  |  |</w:t>
      </w:r>
    </w:p>
    <w:p>
      <w:r>
        <w:t xml:space="preserve">|  | 2д |  |  |  |  |  |</w:t>
      </w:r>
    </w:p>
    <w:p>
      <w:r>
        <w:t xml:space="preserve">|  | 3д |  |  |  |  |  |</w:t>
      </w:r>
    </w:p>
    <w:p>
      <w:r>
        <w:t xml:space="preserve">|  | 4д |  |  |  |  |  |</w:t>
      </w:r>
    </w:p>
    <w:p>
      <w:r>
        <w:t xml:space="preserve">|  | 5д |  |  |  |  |  |</w:t>
      </w:r>
    </w:p>
    <w:p>
      <w:r>
        <w:t xml:space="preserve">|  | 6д | "; |  |  |  |  |</w:t>
      </w:r>
    </w:p>
    <w:p>
      <w:pPr>
        <w:pStyle w:val="Heading2"/>
      </w:pPr>
      <w:r>
        <w:t xml:space="preserve">Текст</w:t>
      </w:r>
    </w:p>
    <w:p>
      <w:r>
        <w:t xml:space="preserve">б) в таблице 2 :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"РГР" дополнить позицией следующего содержания:</w:t>
      </w:r>
    </w:p>
    <w:p>
      <w:r>
        <w:t xml:space="preserve">| "АН | авторский надзор";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"ГК" дополнить позициями следующего содержания:</w:t>
      </w:r>
    </w:p>
    <w:p>
      <w:r>
        <w:t xml:space="preserve">| "СК | строительный контроль (технический надзор) |</w:t>
      </w:r>
    </w:p>
    <w:p>
      <w:r>
        <w:t xml:space="preserve">|---|---|</w:t>
      </w:r>
    </w:p>
    <w:p>
      <w:r>
        <w:t xml:space="preserve">| ЭК | эксплуатационный контроль |</w:t>
      </w:r>
    </w:p>
    <w:p>
      <w:r>
        <w:t xml:space="preserve">| ПР | приемка";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"Э" дополнить позицией следующего содержания:</w:t>
      </w:r>
    </w:p>
    <w:p>
      <w:r>
        <w:t xml:space="preserve">| "ЭД | экспертиза проектной документации". |</w:t>
      </w:r>
    </w:p>
    <w:p>
      <w:r>
        <w:t xml:space="preserve">|---|---|</w:t>
      </w:r>
    </w:p>
    <w:p>
      <w:pPr>
        <w:pStyle w:val="Heading2"/>
      </w:pPr>
      <w:r>
        <w:t xml:space="preserve">Пункт 2</w:t>
      </w:r>
    </w:p>
    <w:p>
      <w:r>
        <w:t xml:space="preserve">2. В разделе II :</w:t>
      </w:r>
    </w:p>
    <w:p>
      <w:r>
        <w:t xml:space="preserve">а) позицию 5 изложить в следующей редакции:</w:t>
      </w:r>
    </w:p>
    <w:p>
      <w:r>
        <w:t xml:space="preserve">| "5 | Обозначение | ЕС 1022-2023 (ред. 1)";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б) позицию 6 изложить в следующей редакции:</w:t>
      </w:r>
    </w:p>
    <w:p>
      <w:r>
        <w:t xml:space="preserve">| "6 | Реквизиты акта о принятии (утверждении) справочника (классификатора) | Решение Коллегии Евразийской экономической комиссии от 2 апреля 2019 г. № 52";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в) позицию 7 изложить в следующей редакции:</w:t>
      </w:r>
    </w:p>
    <w:p>
      <w:r>
        <w:t xml:space="preserve">| "7 | Дата введения в действие (начала применения) справочника (классификатора) | 05.05.2019";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г) позицию 22 изложить в следующей редакции:</w:t>
      </w:r>
    </w:p>
    <w:p>
      <w:r>
        <w:t xml:space="preserve">| "22 | Изменения | Решением Коллегии Евразийской экономической комиссии от 15 августа 2023 г. № 119 внесены изменения в отдельные позиции перечня (без изменения кодов позиций), а также включены новые позиции". |</w:t>
      </w:r>
    </w:p>
    <w:p>
      <w:r>
        <w:t xml:space="preserve">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