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таблицу 10 структуры и формата транзитной декларации</w:t>
      </w:r>
    </w:p>
    <w:p>
      <w:r>
        <w:t xml:space="preserve">Решение, Изменения. Коллегия Евразийской экономической комиссии. от 18.07.2023. № 105. редакция от 18.07.2023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105 Таможенного кодекса Евразийского экономического союза Коллегия Евразийской экономической комиссии решила :</w:t>
      </w:r>
    </w:p>
    <w:p>
      <w:pPr>
        <w:pStyle w:val="Heading2"/>
      </w:pPr>
      <w:r>
        <w:t xml:space="preserve">Пункт 1</w:t>
      </w:r>
    </w:p>
    <w:p>
      <w:r>
        <w:t xml:space="preserve">1. Внести в таблицу 10 структуры и формата транзитной декларации, утвержденных Решением Коллегии Евразийской экономической комиссии от 30 мая 2023 г. № 74, изменения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2. Настоящее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Председатель Коллегии Евразийской экономической комиссии | М. Мясникович |</w:t>
      </w:r>
    </w:p>
    <w:p>
      <w:r>
        <w:t xml:space="preserve">|---|---|</w:t>
      </w:r>
    </w:p>
    <w:p>
      <w:r>
        <w:t xml:space="preserve">|  | ПРИЛОЖЕНИЕ к Решению Коллегии Евразийской экономической комиссии от 18 июля 2023 г. № 105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</w:t>
      </w:r>
    </w:p>
    <w:p>
      <w:pPr>
        <w:pStyle w:val="Heading2"/>
      </w:pPr>
      <w:r>
        <w:t xml:space="preserve">Глава вносимые в таблицу 10 структуры и формата транзитной декларации</w:t>
      </w:r>
    </w:p>
    <w:p>
      <w:pPr>
        <w:pStyle w:val="Heading2"/>
      </w:pPr>
      <w:r>
        <w:t xml:space="preserve">Текст</w:t>
      </w:r>
    </w:p>
    <w:p>
      <w:r>
        <w:t xml:space="preserve">В позиции 21.12.2:</w:t>
      </w:r>
    </w:p>
    <w:p>
      <w:pPr>
        <w:pStyle w:val="Heading2"/>
      </w:pPr>
      <w:r>
        <w:t xml:space="preserve">Текст</w:t>
      </w:r>
    </w:p>
    <w:p>
      <w:r>
        <w:t xml:space="preserve">а) в графе 6 код страны "KZ" исключить;</w:t>
      </w:r>
    </w:p>
    <w:p>
      <w:pPr>
        <w:pStyle w:val="Heading2"/>
      </w:pPr>
      <w:r>
        <w:t xml:space="preserve">Текст</w:t>
      </w:r>
    </w:p>
    <w:p>
      <w:r>
        <w:t xml:space="preserve">б) дополнить:</w:t>
      </w:r>
    </w:p>
    <w:p>
      <w:pPr>
        <w:pStyle w:val="Heading2"/>
      </w:pPr>
      <w:r>
        <w:t xml:space="preserve">Текст</w:t>
      </w:r>
    </w:p>
    <w:p>
      <w:r>
        <w:t xml:space="preserve">в графе 4 – кодом правила "B.048.00562";</w:t>
      </w:r>
    </w:p>
    <w:p>
      <w:pPr>
        <w:pStyle w:val="Heading2"/>
      </w:pPr>
      <w:r>
        <w:t xml:space="preserve">Текст</w:t>
      </w:r>
    </w:p>
    <w:p>
      <w:r>
        <w:t xml:space="preserve">в графе 5 – видом правила "2";</w:t>
      </w:r>
    </w:p>
    <w:p>
      <w:pPr>
        <w:pStyle w:val="Heading2"/>
      </w:pPr>
      <w:r>
        <w:t xml:space="preserve">Текст</w:t>
      </w:r>
    </w:p>
    <w:p>
      <w:r>
        <w:t xml:space="preserve">в графе 6 – кодом страны "KZ";</w:t>
      </w:r>
    </w:p>
    <w:p>
      <w:pPr>
        <w:pStyle w:val="Heading2"/>
      </w:pPr>
      <w:r>
        <w:t xml:space="preserve">Текст</w:t>
      </w:r>
    </w:p>
    <w:p>
      <w:r>
        <w:t xml:space="preserve">в графе 7 – описанием правила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"если реквизит "Код предназначения товаров, декларируемых в транзитной декларации (casdo:TransitFeatureCode)" содержит 1 из значений: "МП", "ЧМ" или реквизит "Код вида перемещения товаров (casdo:TransitProcedureCode)" содержит значение "ТР", реквизит "Код вида транспорта (csdo:UnifiedTransportModeCode)" в составе экземпляра реквизита "Транспортное средство (cacdo:TransportMeansItemDetails)" содержит значение "40", реквизит "Признак товара, свободного от применения запретов и ограничений (casdo:GoodsProhibitionFreeCode)" содержит значение "С" и значение реквизита "Код таможенного органа (csdo:CustomsOfficeCode)" в составе реквизита "Таможенный орган и пункт назначения (cacdo:TransitDestinationDetails)" в составе экземпляра реквизита "Товарная партия (cacdo:TDGoodsShipmentDetails)" начинается со значения "398", то реквизит "Код товара по ТН ВЭД ЕАЭС (csdo:CommodityCode)" не должен быть заполнен, иначе реквизит "Код товара по ТН ВЭД ЕАЭС (csdo:CommodityCode)" должен быть заполнен".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