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определения стоимости государственного задания в сфере государственного аудита и финансового контроля</w:t>
      </w:r>
    </w:p>
    <w:p>
      <w:r>
        <w:t xml:space="preserve">Нормативное постановление, Правила. Высшая аудиторская палата Республики Казахстан (старое название: Счетный комитет по контролю за исполнением республиканского бюджета). от 26.05.2025. № 210795. редакция от 26.05.2025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16 Бюджетного кодекса Республики Казахстан Высшая аудиторская палата Республики Казахстан (далее – Высшая аудиторская палата)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определения стоимости государственного задания в сфере государственного аудита и финансового контроля.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международного сотрудничества и методологии аппарата Высшей аудиторской палаты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настоящего нормативного постановления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нормативного постановления на интернет-ресурсе Высшей аудиторской палаты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нормативного постановления возложить на руководителя аппарата Высшей аудиторской палаты.</w:t>
      </w:r>
    </w:p>
    <w:p>
      <w:pPr>
        <w:pStyle w:val="Heading2"/>
      </w:pPr>
      <w:r>
        <w:t xml:space="preserve">Пункт 4</w:t>
      </w:r>
    </w:p>
    <w:p>
      <w:r>
        <w:t xml:space="preserve">4. Настоящее нормативное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| А. Смаилов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r>
        <w:t xml:space="preserve">|  | Утверждены нормативным постановлением Высшей аудиторской палаты Республики Казахстан от 26 мая 2025 года № 4-НҚ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определения стоимости государственного задания в сфере государственного аудита и финансового контроля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определения стоимости государственного задания в сфере государственного аудита и финансового контроля (далее – Правила) разработаны в соответствии с пунктом 4 статьи 16 Бюджетного кодекса Республики Казахстан и определяют порядок определения стоимости выполнения государственного задания в сфере государственного аудита и финансового контроля при формировании бюджетного запроса Высшей аудиторской палаты Республики Казахстан (далее – Высшая аудиторская палата) на очередной плановый период.</w:t>
      </w:r>
    </w:p>
    <w:p>
      <w:pPr>
        <w:pStyle w:val="Heading2"/>
      </w:pPr>
      <w:r>
        <w:t xml:space="preserve">Глава 2 Порядок определения стоимости государственного задания в сфере государственного аудита и финансового контроля</w:t>
      </w:r>
    </w:p>
    <w:p>
      <w:pPr>
        <w:pStyle w:val="Heading2"/>
      </w:pPr>
      <w:r>
        <w:t xml:space="preserve">Пункт 2</w:t>
      </w:r>
    </w:p>
    <w:p>
      <w:r>
        <w:t xml:space="preserve">2. При определении стоимости государственного задания (далее – услуга) учитываются прямые и косвенные расходы исполнителя, подтвержденные обосновывающими документами, которые указаны в расчете стоимости услуги согласно приложению к настоящим Правилам.</w:t>
      </w:r>
    </w:p>
    <w:p>
      <w:pPr>
        <w:pStyle w:val="Heading2"/>
      </w:pPr>
      <w:r>
        <w:t xml:space="preserve">Пункт 3</w:t>
      </w:r>
    </w:p>
    <w:p>
      <w:r>
        <w:t xml:space="preserve">3. К прямым расходам исполнителя относятся расходы, непосредственно связанные с оказанием услуги.</w:t>
      </w:r>
    </w:p>
    <w:p>
      <w:pPr>
        <w:pStyle w:val="Heading2"/>
      </w:pPr>
      <w:r>
        <w:t xml:space="preserve">Пункт 4</w:t>
      </w:r>
    </w:p>
    <w:p>
      <w:r>
        <w:t xml:space="preserve">4. К косвенным расходам исполнителя относятся расходы, необходимые для обеспечения деятельности исполнителя в целом, но не потребляемые непосредственно в процессе оказания услуги.</w:t>
      </w:r>
    </w:p>
    <w:p>
      <w:pPr>
        <w:pStyle w:val="Heading2"/>
      </w:pPr>
      <w:r>
        <w:t xml:space="preserve">Пункт 5</w:t>
      </w:r>
    </w:p>
    <w:p>
      <w:r>
        <w:t xml:space="preserve">5. Основой для проведения расчета определения стоимости услуги является прямой метод учета расходов.</w:t>
      </w:r>
    </w:p>
    <w:p>
      <w:r>
        <w:t xml:space="preserve">Стоимость услуги определяется по следующей формуле:</w:t>
      </w:r>
    </w:p>
    <w:p>
      <w:r>
        <w:t xml:space="preserve">С = ПР + КР</w:t>
      </w:r>
    </w:p>
    <w:p>
      <w:r>
        <w:t xml:space="preserve">где,</w:t>
      </w:r>
    </w:p>
    <w:p>
      <w:r>
        <w:t xml:space="preserve">С – стоимость услуги;</w:t>
      </w:r>
    </w:p>
    <w:p>
      <w:r>
        <w:t xml:space="preserve">ПР – прямые расходы;</w:t>
      </w:r>
    </w:p>
    <w:p>
      <w:r>
        <w:t xml:space="preserve">КР – косвенные расходы.</w:t>
      </w:r>
    </w:p>
    <w:p>
      <w:pPr>
        <w:pStyle w:val="Heading2"/>
      </w:pPr>
      <w:r>
        <w:t xml:space="preserve">Пункт 6</w:t>
      </w:r>
    </w:p>
    <w:p>
      <w:r>
        <w:t xml:space="preserve">6. При определении стоимости услуги не учитываются расходы, не относящиеся к прямым и косвенным расходам исполнителя, а также не подтвержденные обосновывающими документами.</w:t>
      </w:r>
    </w:p>
    <w:p>
      <w:pPr>
        <w:pStyle w:val="Heading2"/>
      </w:pPr>
      <w:r>
        <w:t xml:space="preserve">Пункт 7</w:t>
      </w:r>
    </w:p>
    <w:p>
      <w:r>
        <w:t xml:space="preserve">7. В стоимость услуги за счет средств республиканского бюджета не включаются расходы на премиальные выплаты, проведение культурно-массовых мероприятий, представительские расходы.</w:t>
      </w:r>
    </w:p>
    <w:p>
      <w:r>
        <w:t xml:space="preserve">|  | Приложение к Правилам определения стоимости государственного задания в сфере государственного аудита и финансового контроля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Расчет стоимости услуг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исполнителя услуги)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государственного задания)</w:t>
      </w:r>
    </w:p>
    <w:p>
      <w:pPr>
        <w:pStyle w:val="Heading2"/>
      </w:pPr>
      <w:r>
        <w:t xml:space="preserve">Текст</w:t>
      </w:r>
    </w:p>
    <w:p>
      <w:r>
        <w:t xml:space="preserve">на 20 ___ год</w:t>
      </w:r>
    </w:p>
    <w:p>
      <w:pPr>
        <w:pStyle w:val="Heading2"/>
      </w:pPr>
      <w:r>
        <w:t xml:space="preserve">Текст</w:t>
      </w:r>
    </w:p>
    <w:p>
      <w:r>
        <w:t xml:space="preserve">Наименование бюджетной программы, бюджетной подпрограммы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</w:t>
      </w:r>
    </w:p>
    <w:p>
      <w:r>
        <w:t xml:space="preserve">| № п/п | Наименование статей расходов | Цена за единицу, в тенге | Количество | Сумма, в тенге | Краткое обоснование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 | ВСЕГО на 20___ год |  |  |  |  |</w:t>
      </w:r>
    </w:p>
    <w:p>
      <w:r>
        <w:t xml:space="preserve">| 1. | Прямые расходы: |  |  |  |  |</w:t>
      </w:r>
    </w:p>
    <w:p>
      <w:r>
        <w:t xml:space="preserve">| 1.1. | Фонд оплаты труда (заработная плата персонала, непосредственно участвующего в оказании услуги в соответствии со штатным расписанием) |  |  |  |  |</w:t>
      </w:r>
    </w:p>
    <w:p>
      <w:r>
        <w:t xml:space="preserve">| 1.2. | Налоги и другие обязательные платежи в бюджет, а также социальные отчисления и обязательное страхование работников от несчастных случаев при исполнении им трудовых (служебных) обязанностей |  |  |  |  |</w:t>
      </w:r>
    </w:p>
    <w:p>
      <w:r>
        <w:t xml:space="preserve">| 1.3. | Командировочные расходы (персонала, непосредственно участвующего в оказании услуги в соответствии со штатным расписанием) |  |  |  |  |</w:t>
      </w:r>
    </w:p>
    <w:p>
      <w:r>
        <w:t xml:space="preserve">| 1.4. | Приобретение товаров и материалов (канцелярские товары и расходные материалы, дипломы и нагрудные знаки) |  |  |  |  |</w:t>
      </w:r>
    </w:p>
    <w:p>
      <w:r>
        <w:t xml:space="preserve">| 1.5. | Расходы на аренду помещения и эксплуатационные расходы |  |  |  |  |</w:t>
      </w:r>
    </w:p>
    <w:p>
      <w:r>
        <w:t xml:space="preserve">| 1.6. | Расходы на приобретение основных средств и нематериальных активов (рабочее место персонала, непосредственно участвующего в оказании услуги) |  |  |  |  |</w:t>
      </w:r>
    </w:p>
    <w:p>
      <w:r>
        <w:t xml:space="preserve">| 1.7. | Расходы на переводческие услуги, инфографику и типографские услуги |  |  |  |  |</w:t>
      </w:r>
    </w:p>
    <w:p>
      <w:r>
        <w:t xml:space="preserve">| 1.8. | Расходы по подключению к цифровым библиотекам и электронным базам данных |  |  |  |  |</w:t>
      </w:r>
    </w:p>
    <w:p>
      <w:r>
        <w:t xml:space="preserve">| 1.9. | Расходы на приобретение нематериальных активов (право пользования информационными системами, патентами и другие) |  |  |  |  |</w:t>
      </w:r>
    </w:p>
    <w:p>
      <w:r>
        <w:t xml:space="preserve">| 1.10. | Расходы на почтовую связь, интернет, телефонию (за исключением услуг сотовой связи), хостинг и домен, разработка и содержание интернет-ресурсов |  |  |  |  |</w:t>
      </w:r>
    </w:p>
    <w:p>
      <w:r>
        <w:t xml:space="preserve">| 1.11. | Расходы, связанные с публикацией материалов исследований |  |  |  |  |</w:t>
      </w:r>
    </w:p>
    <w:p>
      <w:r>
        <w:t xml:space="preserve">| 2. | Косвенные расходы: |  |  |  |  |</w:t>
      </w:r>
    </w:p>
    <w:p>
      <w:r>
        <w:t xml:space="preserve">| 2.1. | Заработная плата административно-управленческого персонала |  |  |  |  |</w:t>
      </w:r>
    </w:p>
    <w:p>
      <w:r>
        <w:t xml:space="preserve">| 2.2. | Налоги и другие обязательные платежи в бюджет, а также социальные отчисления |  |  |  |  |</w:t>
      </w:r>
    </w:p>
    <w:p>
      <w:r>
        <w:t xml:space="preserve">| 2.3. | Финансово-хозяйственные расходы (приобретение материалов, запасов и основных средств (рабочее место административно-управленческого персонала), амортизация основных средств, налоги и сборы, оплата услуг связи, транспортных услуг, эксплуатационных услуг, услуги доступа к информационным системам, командировочные расходы и расходы по повышению квалификации административных работников) |  |  |  |  |</w:t>
      </w:r>
    </w:p>
    <w:p>
      <w:pPr>
        <w:pStyle w:val="Heading2"/>
      </w:pPr>
      <w:r>
        <w:t xml:space="preserve">Текст</w:t>
      </w:r>
    </w:p>
    <w:p>
      <w:r>
        <w:t xml:space="preserve">Первый руководитель ______________ ______________________________________ (фамилия, имя, отчество (при наличии)</w:t>
      </w:r>
    </w:p>
    <w:p>
      <w:pPr>
        <w:pStyle w:val="Heading2"/>
      </w:pPr>
      <w:r>
        <w:t xml:space="preserve">Текст</w:t>
      </w:r>
    </w:p>
    <w:p>
      <w:r>
        <w:t xml:space="preserve">Главный бухгалтер ______________ _________________________________________ (фамилия, имя, отчество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